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D557E3" w14:textId="34A4513F" w:rsidR="00EE070D" w:rsidRDefault="00EE070D" w:rsidP="00EE070D">
      <w:pPr>
        <w:pStyle w:val="Title"/>
      </w:pPr>
      <w:bookmarkStart w:id="0" w:name="_Hlk14862488"/>
      <w:r>
        <w:t>P</w:t>
      </w:r>
      <w:r w:rsidRPr="00EE070D">
        <w:t xml:space="preserve">ort </w:t>
      </w:r>
      <w:r>
        <w:t>P</w:t>
      </w:r>
      <w:r w:rsidRPr="00EE070D">
        <w:t xml:space="preserve">ricing and </w:t>
      </w:r>
      <w:r>
        <w:t>A</w:t>
      </w:r>
      <w:r w:rsidRPr="00EE070D">
        <w:t xml:space="preserve">ccess </w:t>
      </w:r>
      <w:r>
        <w:t>R</w:t>
      </w:r>
      <w:r w:rsidRPr="00EE070D">
        <w:t xml:space="preserve">eview </w:t>
      </w:r>
    </w:p>
    <w:p w14:paraId="6498930E" w14:textId="567DDDBE" w:rsidR="00EE070D" w:rsidRPr="00EE070D" w:rsidRDefault="00EE070D" w:rsidP="00EE070D">
      <w:pPr>
        <w:pStyle w:val="Title"/>
      </w:pPr>
      <w:r w:rsidRPr="00EE070D">
        <w:t>Terms of Reference</w:t>
      </w:r>
    </w:p>
    <w:bookmarkEnd w:id="0"/>
    <w:p w14:paraId="4C4E65EA" w14:textId="2F8BEEEB" w:rsidR="00EE070D" w:rsidRPr="00EE070D" w:rsidRDefault="00002074" w:rsidP="00EE070D">
      <w:pPr>
        <w:rPr>
          <w:sz w:val="22"/>
          <w:szCs w:val="22"/>
        </w:rPr>
      </w:pPr>
      <w:r>
        <w:rPr>
          <w:sz w:val="22"/>
          <w:szCs w:val="22"/>
        </w:rPr>
        <w:br/>
      </w:r>
      <w:r w:rsidR="00EE070D" w:rsidRPr="00EE070D">
        <w:rPr>
          <w:sz w:val="22"/>
          <w:szCs w:val="22"/>
        </w:rPr>
        <w:t xml:space="preserve">Investigate options for the future role of Government in regulating pricing/charges, and access to and from the Port of Melbourne </w:t>
      </w:r>
    </w:p>
    <w:p w14:paraId="76A89613" w14:textId="77777777" w:rsidR="00EE070D" w:rsidRPr="00EE070D" w:rsidRDefault="00EE070D" w:rsidP="00EE070D">
      <w:pPr>
        <w:rPr>
          <w:sz w:val="22"/>
          <w:szCs w:val="22"/>
        </w:rPr>
      </w:pPr>
      <w:r w:rsidRPr="00EE070D">
        <w:rPr>
          <w:sz w:val="22"/>
          <w:szCs w:val="22"/>
        </w:rPr>
        <w:t>Freight movements are essential to businesses and our economy. The ability for port users to have competitive access and pricing to the Port of Melbourne and to services within the container supply chain is critical for industry and the State's trade competitiveness.</w:t>
      </w:r>
    </w:p>
    <w:p w14:paraId="51888C9A" w14:textId="77777777" w:rsidR="00002074" w:rsidRDefault="00EE070D" w:rsidP="00EE070D">
      <w:pPr>
        <w:rPr>
          <w:sz w:val="22"/>
          <w:szCs w:val="22"/>
        </w:rPr>
      </w:pPr>
      <w:r w:rsidRPr="00EE070D">
        <w:rPr>
          <w:sz w:val="22"/>
          <w:szCs w:val="22"/>
        </w:rPr>
        <w:t xml:space="preserve">The movement of containers through the Port of Melbourne is a key freight task for Victoria. The port is a major node in one of Australia's most significant supply chains and handles the majority of Victoria's container imports and exports. </w:t>
      </w:r>
    </w:p>
    <w:p w14:paraId="3C924F76" w14:textId="26597920" w:rsidR="00EE070D" w:rsidRPr="00EE070D" w:rsidRDefault="00EE070D" w:rsidP="00EE070D">
      <w:pPr>
        <w:rPr>
          <w:sz w:val="22"/>
          <w:szCs w:val="22"/>
        </w:rPr>
      </w:pPr>
      <w:r w:rsidRPr="00EE070D">
        <w:rPr>
          <w:sz w:val="22"/>
          <w:szCs w:val="22"/>
        </w:rPr>
        <w:t>In 2017-18, the Port of Melbourne handled 2.9 million twenty-foot-equivalent units (TEU) of containers equating to around 75% of the Port of Melbourne's trade.</w:t>
      </w:r>
    </w:p>
    <w:p w14:paraId="53FF45BF" w14:textId="77777777" w:rsidR="00EE070D" w:rsidRPr="00EE070D" w:rsidRDefault="00EE070D" w:rsidP="00EE070D">
      <w:pPr>
        <w:pStyle w:val="Heading2"/>
      </w:pPr>
      <w:r w:rsidRPr="00EE070D">
        <w:t>The Victorian Freight Plan</w:t>
      </w:r>
    </w:p>
    <w:p w14:paraId="03238F1A" w14:textId="77777777" w:rsidR="00EE070D" w:rsidRPr="00EE070D" w:rsidRDefault="00EE070D" w:rsidP="00EE070D">
      <w:pPr>
        <w:rPr>
          <w:sz w:val="22"/>
          <w:szCs w:val="22"/>
        </w:rPr>
      </w:pPr>
      <w:r w:rsidRPr="00EE070D">
        <w:rPr>
          <w:sz w:val="22"/>
          <w:szCs w:val="22"/>
        </w:rPr>
        <w:t xml:space="preserve">The Victorian Freight Plan, Delivering the Goods, identified an action to 'investigate options for the future role of Government in regulating pricing/charges, and access to and from the port'. This action was developed in response to industry concerns regarding increasing infrastructure charges by stevedores at the Port of Melbourne and the associated flow on cost to industry. </w:t>
      </w:r>
    </w:p>
    <w:p w14:paraId="06357C57" w14:textId="77777777" w:rsidR="00EE070D" w:rsidRPr="00EE070D" w:rsidRDefault="00EE070D" w:rsidP="00EE070D">
      <w:pPr>
        <w:rPr>
          <w:sz w:val="22"/>
          <w:szCs w:val="22"/>
        </w:rPr>
      </w:pPr>
      <w:r w:rsidRPr="00EE070D">
        <w:rPr>
          <w:sz w:val="22"/>
          <w:szCs w:val="22"/>
        </w:rPr>
        <w:t>An infrastructure charge is a charge levied by stevedores on land transport operators (rail and road operators) when collecting or delivering loaded containers from the Port of Melbourne. It is sometimes referred to as a port access charge as land transport operators pay the charge to access the stevedore's container terminal site at the port.</w:t>
      </w:r>
    </w:p>
    <w:p w14:paraId="1506298A" w14:textId="77777777" w:rsidR="00002074" w:rsidRDefault="00EE070D" w:rsidP="00EE070D">
      <w:pPr>
        <w:rPr>
          <w:sz w:val="22"/>
          <w:szCs w:val="22"/>
        </w:rPr>
      </w:pPr>
      <w:r w:rsidRPr="00EE070D">
        <w:rPr>
          <w:sz w:val="22"/>
          <w:szCs w:val="22"/>
        </w:rPr>
        <w:t xml:space="preserve">Stevedores are part of the broader container supply chain which includes international shipping lines, the port lessee, cargo owners (importers and exporters), land transport operators (road and rail transport operators) and related infrastructure operators such as intermodal terminals and empty container parks. </w:t>
      </w:r>
    </w:p>
    <w:p w14:paraId="4CEFC94F" w14:textId="7E86D0D3" w:rsidR="00EE070D" w:rsidRPr="00EE070D" w:rsidRDefault="00EE070D" w:rsidP="00EE070D">
      <w:pPr>
        <w:rPr>
          <w:sz w:val="22"/>
          <w:szCs w:val="22"/>
        </w:rPr>
      </w:pPr>
      <w:r w:rsidRPr="00EE070D">
        <w:rPr>
          <w:sz w:val="22"/>
          <w:szCs w:val="22"/>
        </w:rPr>
        <w:t>Each of these companies charges a fee for moving containers and plays an important role in facilitating the transport of containerised freight in and out of the Port of Melbourne.</w:t>
      </w:r>
    </w:p>
    <w:p w14:paraId="260AB2E9" w14:textId="77777777" w:rsidR="00EE070D" w:rsidRPr="00EE070D" w:rsidRDefault="00EE070D" w:rsidP="00EE070D">
      <w:pPr>
        <w:pStyle w:val="Heading2"/>
      </w:pPr>
      <w:r w:rsidRPr="00EE070D">
        <w:t>Scope of the Review</w:t>
      </w:r>
    </w:p>
    <w:p w14:paraId="037E4953" w14:textId="77777777" w:rsidR="00EE070D" w:rsidRPr="00EE070D" w:rsidRDefault="00EE070D" w:rsidP="00EE070D">
      <w:pPr>
        <w:rPr>
          <w:sz w:val="22"/>
          <w:szCs w:val="22"/>
        </w:rPr>
      </w:pPr>
      <w:r w:rsidRPr="00EE070D">
        <w:rPr>
          <w:sz w:val="22"/>
          <w:szCs w:val="22"/>
        </w:rPr>
        <w:t>This review will assess port pricing/charges at, and access issues into and out of, the Port of Melbourne. While industry is currently concerned with the infrastructure charge, it is important that any review of charges is carried out in the context of the overall Port of Melbourne container supply chain.</w:t>
      </w:r>
    </w:p>
    <w:p w14:paraId="1ECF9CDE" w14:textId="77777777" w:rsidR="00EE070D" w:rsidRPr="00EE070D" w:rsidRDefault="00EE070D" w:rsidP="00EE070D">
      <w:pPr>
        <w:rPr>
          <w:sz w:val="22"/>
          <w:szCs w:val="22"/>
        </w:rPr>
      </w:pPr>
      <w:r w:rsidRPr="00EE070D">
        <w:rPr>
          <w:sz w:val="22"/>
          <w:szCs w:val="22"/>
        </w:rPr>
        <w:t>For the purposes of this review, the Port of Melbourne container supply chain is defined as the movement of import and export containers from the wharf to the port gate, not from origin to final destination.</w:t>
      </w:r>
    </w:p>
    <w:p w14:paraId="1DC1AE77" w14:textId="77777777" w:rsidR="00EE070D" w:rsidRPr="00EE070D" w:rsidRDefault="00EE070D" w:rsidP="00EE070D">
      <w:pPr>
        <w:rPr>
          <w:sz w:val="22"/>
          <w:szCs w:val="22"/>
        </w:rPr>
      </w:pPr>
      <w:r w:rsidRPr="00EE070D">
        <w:rPr>
          <w:sz w:val="22"/>
          <w:szCs w:val="22"/>
        </w:rPr>
        <w:t>The review will be conducted by an independent reviewer appointed by the Victorian Government who will prepare recommendations addressing the terms of reference. Freight Victoria has established a Review Advisory Board (RAB), made up of key government department and regulatory representatives, to oversee and support the review.</w:t>
      </w:r>
    </w:p>
    <w:p w14:paraId="2A4EDF74" w14:textId="77777777" w:rsidR="00EE070D" w:rsidRPr="00EE070D" w:rsidRDefault="00EE070D" w:rsidP="00EE070D">
      <w:pPr>
        <w:pStyle w:val="Heading2"/>
      </w:pPr>
      <w:r w:rsidRPr="00EE070D">
        <w:lastRenderedPageBreak/>
        <w:t>Terms of Reference</w:t>
      </w:r>
    </w:p>
    <w:p w14:paraId="2EDF1EE9" w14:textId="77777777" w:rsidR="00EE070D" w:rsidRPr="00EE070D" w:rsidRDefault="00EE070D" w:rsidP="00EE070D">
      <w:pPr>
        <w:rPr>
          <w:sz w:val="22"/>
          <w:szCs w:val="22"/>
        </w:rPr>
      </w:pPr>
      <w:r w:rsidRPr="00EE070D">
        <w:rPr>
          <w:sz w:val="22"/>
          <w:szCs w:val="22"/>
        </w:rPr>
        <w:t>The following are the terms of reference for the Review:</w:t>
      </w:r>
    </w:p>
    <w:p w14:paraId="40B1AC35" w14:textId="322B8980" w:rsidR="00EE070D" w:rsidRPr="00002074" w:rsidRDefault="00EE070D" w:rsidP="00002074">
      <w:pPr>
        <w:pStyle w:val="ListParagraph"/>
        <w:numPr>
          <w:ilvl w:val="0"/>
          <w:numId w:val="17"/>
        </w:numPr>
        <w:ind w:left="567" w:hanging="567"/>
        <w:rPr>
          <w:sz w:val="22"/>
          <w:szCs w:val="22"/>
        </w:rPr>
      </w:pPr>
      <w:r w:rsidRPr="00002074">
        <w:rPr>
          <w:sz w:val="22"/>
          <w:szCs w:val="22"/>
        </w:rPr>
        <w:t>The reviewer is to examine how efficiently the Port of Melbourne container supply chain has performed over time. In doing so, the reviewer should assess:</w:t>
      </w:r>
    </w:p>
    <w:p w14:paraId="7B2845BE" w14:textId="0FFB5071" w:rsidR="00EE070D" w:rsidRPr="00EE070D" w:rsidRDefault="00EE070D" w:rsidP="00002074">
      <w:pPr>
        <w:pStyle w:val="ListParagraph"/>
        <w:numPr>
          <w:ilvl w:val="0"/>
          <w:numId w:val="13"/>
        </w:numPr>
        <w:ind w:left="1134" w:hanging="567"/>
        <w:rPr>
          <w:sz w:val="22"/>
          <w:szCs w:val="22"/>
        </w:rPr>
      </w:pPr>
      <w:r w:rsidRPr="00EE070D">
        <w:rPr>
          <w:sz w:val="22"/>
          <w:szCs w:val="22"/>
        </w:rPr>
        <w:t>the cost to cargo owners of moving a container through the Port of Melbourne and the breakdown of those costs;</w:t>
      </w:r>
    </w:p>
    <w:p w14:paraId="530877B8" w14:textId="41A41BD9" w:rsidR="00EE070D" w:rsidRPr="00EE070D" w:rsidRDefault="00EE070D" w:rsidP="00002074">
      <w:pPr>
        <w:pStyle w:val="ListParagraph"/>
        <w:numPr>
          <w:ilvl w:val="0"/>
          <w:numId w:val="13"/>
        </w:numPr>
        <w:ind w:left="1134" w:hanging="567"/>
        <w:rPr>
          <w:sz w:val="22"/>
          <w:szCs w:val="22"/>
        </w:rPr>
      </w:pPr>
      <w:r w:rsidRPr="00EE070D">
        <w:rPr>
          <w:sz w:val="22"/>
          <w:szCs w:val="22"/>
        </w:rPr>
        <w:t>the current contracting arrangements among participants within the supply chain and the implications of these arrangements for supply chain costs;</w:t>
      </w:r>
    </w:p>
    <w:p w14:paraId="06E5A4B0" w14:textId="45F121A9" w:rsidR="00EE070D" w:rsidRPr="00EE070D" w:rsidRDefault="00EE070D" w:rsidP="00002074">
      <w:pPr>
        <w:pStyle w:val="ListParagraph"/>
        <w:numPr>
          <w:ilvl w:val="0"/>
          <w:numId w:val="13"/>
        </w:numPr>
        <w:ind w:left="1134" w:hanging="567"/>
        <w:rPr>
          <w:sz w:val="22"/>
          <w:szCs w:val="22"/>
        </w:rPr>
      </w:pPr>
      <w:r w:rsidRPr="00EE070D">
        <w:rPr>
          <w:sz w:val="22"/>
          <w:szCs w:val="22"/>
        </w:rPr>
        <w:t>the extent to which market power is held by key participants in the Port of</w:t>
      </w:r>
    </w:p>
    <w:p w14:paraId="32EBBB6C" w14:textId="77777777" w:rsidR="00EE070D" w:rsidRPr="00EE070D" w:rsidRDefault="00EE070D" w:rsidP="00002074">
      <w:pPr>
        <w:pStyle w:val="ListParagraph"/>
        <w:numPr>
          <w:ilvl w:val="0"/>
          <w:numId w:val="13"/>
        </w:numPr>
        <w:ind w:left="1134" w:hanging="567"/>
        <w:rPr>
          <w:sz w:val="22"/>
          <w:szCs w:val="22"/>
        </w:rPr>
      </w:pPr>
      <w:r w:rsidRPr="00EE070D">
        <w:rPr>
          <w:sz w:val="22"/>
          <w:szCs w:val="22"/>
        </w:rPr>
        <w:t>Melbourne container supply chain and whether this has changed over time;</w:t>
      </w:r>
    </w:p>
    <w:p w14:paraId="1881DCA7" w14:textId="08942661" w:rsidR="00EE070D" w:rsidRPr="00EE070D" w:rsidRDefault="00EE070D" w:rsidP="00002074">
      <w:pPr>
        <w:pStyle w:val="ListParagraph"/>
        <w:numPr>
          <w:ilvl w:val="0"/>
          <w:numId w:val="13"/>
        </w:numPr>
        <w:ind w:left="1134" w:hanging="567"/>
        <w:rPr>
          <w:sz w:val="22"/>
          <w:szCs w:val="22"/>
        </w:rPr>
      </w:pPr>
      <w:r w:rsidRPr="00EE070D">
        <w:rPr>
          <w:sz w:val="22"/>
          <w:szCs w:val="22"/>
        </w:rPr>
        <w:t>reasons for recent increases in container stevedores' infrastructure charges;</w:t>
      </w:r>
    </w:p>
    <w:p w14:paraId="48FAB1E8" w14:textId="21962E6F" w:rsidR="00EE070D" w:rsidRPr="00EE070D" w:rsidRDefault="00EE070D" w:rsidP="00002074">
      <w:pPr>
        <w:pStyle w:val="ListParagraph"/>
        <w:numPr>
          <w:ilvl w:val="0"/>
          <w:numId w:val="13"/>
        </w:numPr>
        <w:ind w:left="1134" w:hanging="567"/>
        <w:rPr>
          <w:sz w:val="22"/>
          <w:szCs w:val="22"/>
        </w:rPr>
      </w:pPr>
      <w:r w:rsidRPr="00EE070D">
        <w:rPr>
          <w:sz w:val="22"/>
          <w:szCs w:val="22"/>
        </w:rPr>
        <w:t>the impact of recent increases in container stevedores' infrastructure charges on transport operators, cargo owners and any other parties;</w:t>
      </w:r>
    </w:p>
    <w:p w14:paraId="5487F6CF" w14:textId="51AA63FA" w:rsidR="00EE070D" w:rsidRPr="00EE070D" w:rsidRDefault="00EE070D" w:rsidP="00002074">
      <w:pPr>
        <w:pStyle w:val="ListParagraph"/>
        <w:numPr>
          <w:ilvl w:val="0"/>
          <w:numId w:val="13"/>
        </w:numPr>
        <w:ind w:left="1134" w:hanging="567"/>
        <w:rPr>
          <w:sz w:val="22"/>
          <w:szCs w:val="22"/>
        </w:rPr>
      </w:pPr>
      <w:r w:rsidRPr="00EE070D">
        <w:rPr>
          <w:sz w:val="22"/>
          <w:szCs w:val="22"/>
        </w:rPr>
        <w:t>access arrangements facing transport operators into and out of the port</w:t>
      </w:r>
      <w:r w:rsidR="00002074">
        <w:rPr>
          <w:sz w:val="22"/>
          <w:szCs w:val="22"/>
        </w:rPr>
        <w:t>,</w:t>
      </w:r>
      <w:r w:rsidRPr="00EE070D">
        <w:rPr>
          <w:sz w:val="22"/>
          <w:szCs w:val="22"/>
        </w:rPr>
        <w:t xml:space="preserve"> including:</w:t>
      </w:r>
    </w:p>
    <w:p w14:paraId="7F1441C1" w14:textId="1F814879" w:rsidR="00EE070D" w:rsidRPr="00EE070D" w:rsidRDefault="00EE070D" w:rsidP="00002074">
      <w:pPr>
        <w:pStyle w:val="ListParagraph"/>
        <w:numPr>
          <w:ilvl w:val="0"/>
          <w:numId w:val="11"/>
        </w:numPr>
        <w:ind w:left="1701" w:hanging="567"/>
        <w:rPr>
          <w:sz w:val="22"/>
          <w:szCs w:val="22"/>
        </w:rPr>
      </w:pPr>
      <w:r w:rsidRPr="00EE070D">
        <w:rPr>
          <w:sz w:val="22"/>
          <w:szCs w:val="22"/>
        </w:rPr>
        <w:t>terminal access arrangements (carrier agreements) between transport operators and stevedores;</w:t>
      </w:r>
    </w:p>
    <w:p w14:paraId="472B9228" w14:textId="70EC9758" w:rsidR="00EE070D" w:rsidRPr="00EE070D" w:rsidRDefault="00EE070D" w:rsidP="00002074">
      <w:pPr>
        <w:pStyle w:val="ListParagraph"/>
        <w:numPr>
          <w:ilvl w:val="0"/>
          <w:numId w:val="11"/>
        </w:numPr>
        <w:ind w:left="1701" w:hanging="567"/>
        <w:rPr>
          <w:sz w:val="22"/>
          <w:szCs w:val="22"/>
        </w:rPr>
      </w:pPr>
      <w:r w:rsidRPr="00EE070D">
        <w:rPr>
          <w:sz w:val="22"/>
          <w:szCs w:val="22"/>
        </w:rPr>
        <w:t>the vehicle booking system and the incentives and costs it creates in relation to accessing the port;</w:t>
      </w:r>
    </w:p>
    <w:p w14:paraId="6D92EAE9" w14:textId="52884ACC" w:rsidR="00EE070D" w:rsidRPr="00EE070D" w:rsidRDefault="00EE070D" w:rsidP="00002074">
      <w:pPr>
        <w:pStyle w:val="ListParagraph"/>
        <w:numPr>
          <w:ilvl w:val="0"/>
          <w:numId w:val="11"/>
        </w:numPr>
        <w:ind w:left="1701" w:hanging="567"/>
        <w:rPr>
          <w:sz w:val="22"/>
          <w:szCs w:val="22"/>
        </w:rPr>
      </w:pPr>
      <w:r w:rsidRPr="00EE070D">
        <w:rPr>
          <w:sz w:val="22"/>
          <w:szCs w:val="22"/>
        </w:rPr>
        <w:t>any other impediments to landside performance;</w:t>
      </w:r>
      <w:r w:rsidR="00002074">
        <w:rPr>
          <w:sz w:val="22"/>
          <w:szCs w:val="22"/>
        </w:rPr>
        <w:t xml:space="preserve"> and</w:t>
      </w:r>
    </w:p>
    <w:p w14:paraId="384AD971" w14:textId="33DC9D97" w:rsidR="00EE070D" w:rsidRPr="00EE070D" w:rsidRDefault="00EE070D" w:rsidP="00002074">
      <w:pPr>
        <w:pStyle w:val="ListParagraph"/>
        <w:numPr>
          <w:ilvl w:val="0"/>
          <w:numId w:val="11"/>
        </w:numPr>
        <w:ind w:left="1701" w:hanging="567"/>
        <w:rPr>
          <w:sz w:val="22"/>
          <w:szCs w:val="22"/>
        </w:rPr>
      </w:pPr>
      <w:r w:rsidRPr="00EE070D">
        <w:rPr>
          <w:sz w:val="22"/>
          <w:szCs w:val="22"/>
        </w:rPr>
        <w:t>potential improvements to existing landside performance standards and reporting.</w:t>
      </w:r>
    </w:p>
    <w:p w14:paraId="2A849400" w14:textId="772C461D" w:rsidR="00EE070D" w:rsidRDefault="00EE070D" w:rsidP="00002074">
      <w:pPr>
        <w:pStyle w:val="ListParagraph"/>
        <w:numPr>
          <w:ilvl w:val="0"/>
          <w:numId w:val="16"/>
        </w:numPr>
        <w:ind w:left="1134" w:hanging="567"/>
        <w:rPr>
          <w:sz w:val="22"/>
          <w:szCs w:val="22"/>
        </w:rPr>
      </w:pPr>
      <w:r w:rsidRPr="00002074">
        <w:rPr>
          <w:sz w:val="22"/>
          <w:szCs w:val="22"/>
        </w:rPr>
        <w:t>any other relevant matters.</w:t>
      </w:r>
    </w:p>
    <w:p w14:paraId="788AC742" w14:textId="77777777" w:rsidR="00002074" w:rsidRPr="00002074" w:rsidRDefault="00002074" w:rsidP="00002074">
      <w:pPr>
        <w:pStyle w:val="ListParagraph"/>
        <w:ind w:left="567"/>
        <w:rPr>
          <w:sz w:val="22"/>
          <w:szCs w:val="22"/>
        </w:rPr>
      </w:pPr>
    </w:p>
    <w:p w14:paraId="3B2E9692" w14:textId="5652487C" w:rsidR="00EE070D" w:rsidRPr="00002074" w:rsidRDefault="00EE070D" w:rsidP="00002074">
      <w:pPr>
        <w:pStyle w:val="ListParagraph"/>
        <w:numPr>
          <w:ilvl w:val="0"/>
          <w:numId w:val="17"/>
        </w:numPr>
        <w:ind w:left="567" w:hanging="567"/>
        <w:rPr>
          <w:sz w:val="22"/>
          <w:szCs w:val="22"/>
        </w:rPr>
      </w:pPr>
      <w:r w:rsidRPr="00002074">
        <w:rPr>
          <w:sz w:val="22"/>
          <w:szCs w:val="22"/>
        </w:rPr>
        <w:t>Having had regard to each of the matters above, the reviewer is to recommend regulatory or other options to improve the efficiency of pricing/charges at, and access arrangements to and from, the Port of Melbourne.</w:t>
      </w:r>
    </w:p>
    <w:p w14:paraId="05533F53" w14:textId="77777777" w:rsidR="00EE070D" w:rsidRPr="00EE070D" w:rsidRDefault="00EE070D" w:rsidP="00002074">
      <w:pPr>
        <w:pStyle w:val="Heading2"/>
      </w:pPr>
      <w:r w:rsidRPr="00EE070D">
        <w:t>Consultation Process</w:t>
      </w:r>
    </w:p>
    <w:p w14:paraId="65B11649" w14:textId="77777777" w:rsidR="00EE070D" w:rsidRPr="00EE070D" w:rsidRDefault="00EE070D" w:rsidP="00EE070D">
      <w:pPr>
        <w:rPr>
          <w:sz w:val="22"/>
          <w:szCs w:val="22"/>
        </w:rPr>
      </w:pPr>
      <w:r w:rsidRPr="00EE070D">
        <w:rPr>
          <w:sz w:val="22"/>
          <w:szCs w:val="22"/>
        </w:rPr>
        <w:t>The independent reviewer should undertake a targeted consultation process with key stakeholders identified by the RAB. These may include container stevedores, container shipping lines, importers and exporters, truck and train operators, the port lessee and government stakeholders. The process will allow for formal submissions from the targeted industry participants to inform the review.</w:t>
      </w:r>
    </w:p>
    <w:p w14:paraId="7E53116E" w14:textId="417EF14B" w:rsidR="00EE070D" w:rsidRPr="00EE070D" w:rsidRDefault="00EE070D" w:rsidP="00EE070D">
      <w:pPr>
        <w:rPr>
          <w:sz w:val="22"/>
          <w:szCs w:val="22"/>
        </w:rPr>
      </w:pPr>
      <w:r w:rsidRPr="00EE070D">
        <w:rPr>
          <w:sz w:val="22"/>
          <w:szCs w:val="22"/>
        </w:rPr>
        <w:t>Timing and Reporting:</w:t>
      </w:r>
      <w:r w:rsidR="00002074">
        <w:rPr>
          <w:sz w:val="22"/>
          <w:szCs w:val="22"/>
        </w:rPr>
        <w:t xml:space="preserve"> </w:t>
      </w:r>
      <w:r w:rsidRPr="00EE070D">
        <w:rPr>
          <w:sz w:val="22"/>
          <w:szCs w:val="22"/>
        </w:rPr>
        <w:t>The independent reviewer is to provide:</w:t>
      </w:r>
    </w:p>
    <w:p w14:paraId="53D09F1F" w14:textId="32CB3844" w:rsidR="00EE070D" w:rsidRPr="00002074" w:rsidRDefault="00EE070D" w:rsidP="00002074">
      <w:pPr>
        <w:pStyle w:val="ListParagraph"/>
        <w:numPr>
          <w:ilvl w:val="0"/>
          <w:numId w:val="18"/>
        </w:numPr>
        <w:rPr>
          <w:sz w:val="22"/>
          <w:szCs w:val="22"/>
        </w:rPr>
      </w:pPr>
      <w:r w:rsidRPr="00002074">
        <w:rPr>
          <w:sz w:val="22"/>
          <w:szCs w:val="22"/>
        </w:rPr>
        <w:t>monthly progress reports to the Review Advisory Board;</w:t>
      </w:r>
    </w:p>
    <w:p w14:paraId="05755357" w14:textId="7B856E58" w:rsidR="00EE070D" w:rsidRPr="00002074" w:rsidRDefault="00EE070D" w:rsidP="00002074">
      <w:pPr>
        <w:pStyle w:val="ListParagraph"/>
        <w:numPr>
          <w:ilvl w:val="0"/>
          <w:numId w:val="18"/>
        </w:numPr>
        <w:rPr>
          <w:sz w:val="22"/>
          <w:szCs w:val="22"/>
        </w:rPr>
      </w:pPr>
      <w:r w:rsidRPr="00002074">
        <w:rPr>
          <w:sz w:val="22"/>
          <w:szCs w:val="22"/>
        </w:rPr>
        <w:t xml:space="preserve">a draft report by </w:t>
      </w:r>
      <w:r w:rsidR="000937D2">
        <w:rPr>
          <w:sz w:val="22"/>
          <w:szCs w:val="22"/>
        </w:rPr>
        <w:t>October</w:t>
      </w:r>
      <w:r w:rsidRPr="00002074">
        <w:rPr>
          <w:sz w:val="22"/>
          <w:szCs w:val="22"/>
        </w:rPr>
        <w:t xml:space="preserve"> 2019; and</w:t>
      </w:r>
    </w:p>
    <w:p w14:paraId="010AD360" w14:textId="697E8C6F" w:rsidR="00EE070D" w:rsidRPr="00002074" w:rsidRDefault="00EE070D" w:rsidP="00002074">
      <w:pPr>
        <w:pStyle w:val="ListParagraph"/>
        <w:numPr>
          <w:ilvl w:val="0"/>
          <w:numId w:val="18"/>
        </w:numPr>
        <w:rPr>
          <w:sz w:val="22"/>
          <w:szCs w:val="22"/>
        </w:rPr>
      </w:pPr>
      <w:r w:rsidRPr="00002074">
        <w:rPr>
          <w:sz w:val="22"/>
          <w:szCs w:val="22"/>
        </w:rPr>
        <w:t xml:space="preserve">a final report with recommendations by </w:t>
      </w:r>
      <w:r w:rsidR="000937D2">
        <w:rPr>
          <w:sz w:val="22"/>
          <w:szCs w:val="22"/>
        </w:rPr>
        <w:t>November</w:t>
      </w:r>
      <w:r w:rsidRPr="00002074">
        <w:rPr>
          <w:sz w:val="22"/>
          <w:szCs w:val="22"/>
        </w:rPr>
        <w:t xml:space="preserve"> 2019.</w:t>
      </w:r>
    </w:p>
    <w:p w14:paraId="175BC825" w14:textId="66306613" w:rsidR="00EE070D" w:rsidRPr="00EE070D" w:rsidRDefault="00EE070D" w:rsidP="00EE070D">
      <w:pPr>
        <w:rPr>
          <w:sz w:val="22"/>
          <w:szCs w:val="22"/>
        </w:rPr>
      </w:pPr>
      <w:r w:rsidRPr="00EE070D">
        <w:rPr>
          <w:sz w:val="22"/>
          <w:szCs w:val="22"/>
        </w:rPr>
        <w:t>Signed</w:t>
      </w:r>
    </w:p>
    <w:p w14:paraId="69C8CDDA" w14:textId="578E1410" w:rsidR="00EE070D" w:rsidRPr="00EE070D" w:rsidRDefault="00EE070D" w:rsidP="00EE070D">
      <w:pPr>
        <w:rPr>
          <w:sz w:val="22"/>
          <w:szCs w:val="22"/>
        </w:rPr>
      </w:pPr>
      <w:r w:rsidRPr="00EE070D">
        <w:rPr>
          <w:rFonts w:cstheme="minorHAnsi"/>
          <w:noProof/>
          <w:sz w:val="22"/>
          <w:szCs w:val="22"/>
        </w:rPr>
        <w:drawing>
          <wp:inline distT="0" distB="0" distL="0" distR="0" wp14:anchorId="00A48AEC" wp14:editId="437242CC">
            <wp:extent cx="2417227" cy="536473"/>
            <wp:effectExtent l="0" t="0" r="0" b="0"/>
            <wp:docPr id="5751" name="Picture 5751"/>
            <wp:cNvGraphicFramePr/>
            <a:graphic xmlns:a="http://schemas.openxmlformats.org/drawingml/2006/main">
              <a:graphicData uri="http://schemas.openxmlformats.org/drawingml/2006/picture">
                <pic:pic xmlns:pic="http://schemas.openxmlformats.org/drawingml/2006/picture">
                  <pic:nvPicPr>
                    <pic:cNvPr id="5751" name="Picture 5751"/>
                    <pic:cNvPicPr/>
                  </pic:nvPicPr>
                  <pic:blipFill>
                    <a:blip r:embed="rId11"/>
                    <a:stretch>
                      <a:fillRect/>
                    </a:stretch>
                  </pic:blipFill>
                  <pic:spPr>
                    <a:xfrm>
                      <a:off x="0" y="0"/>
                      <a:ext cx="2417227" cy="536473"/>
                    </a:xfrm>
                    <a:prstGeom prst="rect">
                      <a:avLst/>
                    </a:prstGeom>
                  </pic:spPr>
                </pic:pic>
              </a:graphicData>
            </a:graphic>
          </wp:inline>
        </w:drawing>
      </w:r>
    </w:p>
    <w:p w14:paraId="3719E4BF" w14:textId="77777777" w:rsidR="00EE070D" w:rsidRPr="00EE070D" w:rsidRDefault="00EE070D" w:rsidP="00EE070D">
      <w:pPr>
        <w:rPr>
          <w:sz w:val="22"/>
          <w:szCs w:val="22"/>
        </w:rPr>
      </w:pPr>
      <w:r w:rsidRPr="00EE070D">
        <w:rPr>
          <w:sz w:val="22"/>
          <w:szCs w:val="22"/>
        </w:rPr>
        <w:t xml:space="preserve"> </w:t>
      </w:r>
    </w:p>
    <w:p w14:paraId="7769464B" w14:textId="77777777" w:rsidR="00EE070D" w:rsidRPr="00EE070D" w:rsidRDefault="00EE070D" w:rsidP="00EE070D">
      <w:pPr>
        <w:rPr>
          <w:sz w:val="22"/>
          <w:szCs w:val="22"/>
        </w:rPr>
      </w:pPr>
      <w:r w:rsidRPr="00EE070D">
        <w:rPr>
          <w:sz w:val="22"/>
          <w:szCs w:val="22"/>
        </w:rPr>
        <w:t>MELISSA HORNE MP</w:t>
      </w:r>
    </w:p>
    <w:p w14:paraId="1CBA97BF" w14:textId="77777777" w:rsidR="00EE070D" w:rsidRPr="00EE070D" w:rsidRDefault="00EE070D" w:rsidP="00EE070D">
      <w:pPr>
        <w:rPr>
          <w:sz w:val="22"/>
          <w:szCs w:val="22"/>
        </w:rPr>
      </w:pPr>
      <w:r w:rsidRPr="00EE070D">
        <w:rPr>
          <w:sz w:val="22"/>
          <w:szCs w:val="22"/>
        </w:rPr>
        <w:t>Minister for Ports and Freight</w:t>
      </w:r>
    </w:p>
    <w:p w14:paraId="3D5C2E76" w14:textId="5505843A" w:rsidR="00EE070D" w:rsidRPr="00EE070D" w:rsidRDefault="00FF4962" w:rsidP="00EE070D">
      <w:pPr>
        <w:rPr>
          <w:sz w:val="22"/>
          <w:szCs w:val="22"/>
        </w:rPr>
      </w:pPr>
      <w:r>
        <w:rPr>
          <w:sz w:val="22"/>
          <w:szCs w:val="22"/>
        </w:rPr>
        <w:t>1</w:t>
      </w:r>
      <w:bookmarkStart w:id="1" w:name="_GoBack"/>
      <w:bookmarkEnd w:id="1"/>
      <w:r w:rsidR="00EE070D" w:rsidRPr="00EE070D">
        <w:rPr>
          <w:sz w:val="22"/>
          <w:szCs w:val="22"/>
        </w:rPr>
        <w:t xml:space="preserve">5/05/2019 </w:t>
      </w:r>
    </w:p>
    <w:sectPr w:rsidR="00EE070D" w:rsidRPr="00EE070D" w:rsidSect="00F67136">
      <w:headerReference w:type="even" r:id="rId12"/>
      <w:headerReference w:type="default" r:id="rId13"/>
      <w:footerReference w:type="even" r:id="rId14"/>
      <w:footerReference w:type="default" r:id="rId15"/>
      <w:headerReference w:type="first" r:id="rId16"/>
      <w:footerReference w:type="first" r:id="rId17"/>
      <w:pgSz w:w="11900" w:h="16840"/>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91E2AE" w14:textId="77777777" w:rsidR="00777524" w:rsidRDefault="00777524" w:rsidP="00F67136">
      <w:pPr>
        <w:spacing w:before="0" w:after="0"/>
      </w:pPr>
      <w:r>
        <w:separator/>
      </w:r>
    </w:p>
  </w:endnote>
  <w:endnote w:type="continuationSeparator" w:id="0">
    <w:p w14:paraId="44F4A968" w14:textId="77777777" w:rsidR="00777524" w:rsidRDefault="00777524" w:rsidP="00F6713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836458137"/>
      <w:docPartObj>
        <w:docPartGallery w:val="Page Numbers (Bottom of Page)"/>
        <w:docPartUnique/>
      </w:docPartObj>
    </w:sdtPr>
    <w:sdtEndPr>
      <w:rPr>
        <w:rStyle w:val="PageNumber"/>
      </w:rPr>
    </w:sdtEndPr>
    <w:sdtContent>
      <w:p w14:paraId="70B9CF93" w14:textId="46626EE3" w:rsidR="006B5D45" w:rsidRDefault="006B5D45" w:rsidP="00F4155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9C5F4BB" w14:textId="77777777" w:rsidR="0037031B" w:rsidRDefault="0037031B" w:rsidP="006B5D45">
    <w:pPr>
      <w:pStyle w:val="Footer"/>
      <w:ind w:right="360"/>
    </w:pPr>
  </w:p>
  <w:p w14:paraId="477D4393" w14:textId="77777777" w:rsidR="00220B35" w:rsidRDefault="00220B3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12645683"/>
      <w:docPartObj>
        <w:docPartGallery w:val="Page Numbers (Bottom of Page)"/>
        <w:docPartUnique/>
      </w:docPartObj>
    </w:sdtPr>
    <w:sdtEndPr>
      <w:rPr>
        <w:rStyle w:val="PageNumber"/>
      </w:rPr>
    </w:sdtEndPr>
    <w:sdtContent>
      <w:p w14:paraId="6EA0FA88" w14:textId="0943D26B" w:rsidR="006B5D45" w:rsidRDefault="006B5D45" w:rsidP="00F4155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AAAB234" w14:textId="0F1D87E0" w:rsidR="0037031B" w:rsidRDefault="00002074" w:rsidP="00002074">
    <w:pPr>
      <w:pStyle w:val="Footer"/>
      <w:tabs>
        <w:tab w:val="right" w:pos="9020"/>
      </w:tabs>
      <w:ind w:right="360"/>
    </w:pPr>
    <w:r>
      <w:t>Port Pricing and Access Review - Terms of Reference</w:t>
    </w:r>
    <w:r w:rsidR="0037031B">
      <w:tab/>
    </w:r>
  </w:p>
  <w:p w14:paraId="7CFD7DBF" w14:textId="77777777" w:rsidR="00220B35" w:rsidRDefault="00220B3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1D467" w14:textId="0E3FF3FA" w:rsidR="0037031B" w:rsidRDefault="00002074" w:rsidP="00002074">
    <w:pPr>
      <w:pStyle w:val="Footer"/>
      <w:tabs>
        <w:tab w:val="right" w:pos="9020"/>
      </w:tabs>
      <w:ind w:right="-52"/>
    </w:pPr>
    <w:r>
      <w:t>Port Pricing and Access Review - Terms of Reference</w:t>
    </w:r>
    <w:r w:rsidR="00F0455B">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09EE83" w14:textId="77777777" w:rsidR="00777524" w:rsidRDefault="00777524" w:rsidP="00F67136">
      <w:pPr>
        <w:spacing w:before="0" w:after="0"/>
      </w:pPr>
      <w:r>
        <w:separator/>
      </w:r>
    </w:p>
  </w:footnote>
  <w:footnote w:type="continuationSeparator" w:id="0">
    <w:p w14:paraId="06218381" w14:textId="77777777" w:rsidR="00777524" w:rsidRDefault="00777524" w:rsidP="00F6713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CF268" w14:textId="77777777" w:rsidR="005C531A" w:rsidRDefault="005C531A">
    <w:pPr>
      <w:pStyle w:val="Header"/>
    </w:pPr>
  </w:p>
  <w:p w14:paraId="2BC78F91" w14:textId="77777777" w:rsidR="00220B35" w:rsidRDefault="00220B3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6D114" w14:textId="4F9BC219" w:rsidR="00F67136" w:rsidRDefault="00F67136">
    <w:pPr>
      <w:pStyle w:val="Header"/>
    </w:pPr>
    <w:r>
      <w:rPr>
        <w:noProof/>
      </w:rPr>
      <w:drawing>
        <wp:anchor distT="0" distB="0" distL="114300" distR="114300" simplePos="0" relativeHeight="251660288" behindDoc="1" locked="0" layoutInCell="1" allowOverlap="1" wp14:anchorId="25720AAE" wp14:editId="00F997A6">
          <wp:simplePos x="0" y="0"/>
          <wp:positionH relativeFrom="column">
            <wp:posOffset>-901337</wp:posOffset>
          </wp:positionH>
          <wp:positionV relativeFrom="paragraph">
            <wp:posOffset>-437151</wp:posOffset>
          </wp:positionV>
          <wp:extent cx="7536815" cy="849086"/>
          <wp:effectExtent l="0" t="0" r="0" b="190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33.png"/>
                  <pic:cNvPicPr/>
                </pic:nvPicPr>
                <pic:blipFill rotWithShape="1">
                  <a:blip r:embed="rId1">
                    <a:extLst>
                      <a:ext uri="{28A0092B-C50C-407E-A947-70E740481C1C}">
                        <a14:useLocalDpi xmlns:a14="http://schemas.microsoft.com/office/drawing/2010/main" val="0"/>
                      </a:ext>
                    </a:extLst>
                  </a:blip>
                  <a:srcRect b="92039"/>
                  <a:stretch/>
                </pic:blipFill>
                <pic:spPr bwMode="auto">
                  <a:xfrm>
                    <a:off x="0" y="0"/>
                    <a:ext cx="7543985" cy="84989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A9A04CB" w14:textId="77777777" w:rsidR="00220B35" w:rsidRDefault="00220B3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D26CC" w14:textId="7915DAF5" w:rsidR="00F67136" w:rsidRPr="00F67136" w:rsidRDefault="00222C46" w:rsidP="00002074">
    <w:pPr>
      <w:pStyle w:val="Title"/>
      <w:tabs>
        <w:tab w:val="left" w:pos="5082"/>
      </w:tabs>
    </w:pPr>
    <w:r w:rsidRPr="001E500A">
      <w:rPr>
        <w:noProof/>
      </w:rPr>
      <w:drawing>
        <wp:anchor distT="0" distB="0" distL="114300" distR="114300" simplePos="0" relativeHeight="251659264" behindDoc="1" locked="0" layoutInCell="1" allowOverlap="1" wp14:anchorId="3370A4FA" wp14:editId="4E7420D3">
          <wp:simplePos x="0" y="0"/>
          <wp:positionH relativeFrom="column">
            <wp:posOffset>-914400</wp:posOffset>
          </wp:positionH>
          <wp:positionV relativeFrom="paragraph">
            <wp:posOffset>-444119</wp:posOffset>
          </wp:positionV>
          <wp:extent cx="7543800" cy="10675062"/>
          <wp:effectExtent l="0" t="0" r="0" b="571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3.png"/>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506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3D680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7205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81678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044BD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267AC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A1C73D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08367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75A1D9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96A7C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688A1E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CE244F"/>
    <w:multiLevelType w:val="hybridMultilevel"/>
    <w:tmpl w:val="22BA9A8E"/>
    <w:lvl w:ilvl="0" w:tplc="E5D000C2">
      <w:start w:val="5"/>
      <w:numFmt w:val="lowerRoman"/>
      <w:lvlText w:val="(%1)"/>
      <w:lvlJc w:val="left"/>
      <w:pPr>
        <w:ind w:left="720"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85E50A1"/>
    <w:multiLevelType w:val="hybridMultilevel"/>
    <w:tmpl w:val="014403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749206F"/>
    <w:multiLevelType w:val="hybridMultilevel"/>
    <w:tmpl w:val="742E969E"/>
    <w:lvl w:ilvl="0" w:tplc="3620E5C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8C87D86"/>
    <w:multiLevelType w:val="hybridMultilevel"/>
    <w:tmpl w:val="C0225C3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9390F93"/>
    <w:multiLevelType w:val="hybridMultilevel"/>
    <w:tmpl w:val="344214BC"/>
    <w:lvl w:ilvl="0" w:tplc="272C0578">
      <w:start w:val="7"/>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DC571A2"/>
    <w:multiLevelType w:val="hybridMultilevel"/>
    <w:tmpl w:val="6994CD50"/>
    <w:lvl w:ilvl="0" w:tplc="77569660">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B467387"/>
    <w:multiLevelType w:val="hybridMultilevel"/>
    <w:tmpl w:val="915605C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A9D1081"/>
    <w:multiLevelType w:val="hybridMultilevel"/>
    <w:tmpl w:val="AAC26E80"/>
    <w:lvl w:ilvl="0" w:tplc="F0660DE6">
      <w:start w:val="8"/>
      <w:numFmt w:val="lowerRoman"/>
      <w:lvlText w:val="(%1)"/>
      <w:lvlJc w:val="left"/>
      <w:pPr>
        <w:ind w:left="720" w:hanging="360"/>
      </w:pPr>
      <w:rPr>
        <w:rFonts w:ascii="Calibri" w:eastAsia="Calibri" w:hAnsi="Calibri" w:cs="Calibri" w:hint="default"/>
        <w:b w:val="0"/>
        <w:i w:val="0"/>
        <w:strike w:val="0"/>
        <w:dstrike w:val="0"/>
        <w:color w:val="000000"/>
        <w:sz w:val="24"/>
        <w:szCs w:val="24"/>
        <w:u w:val="none" w:color="000000"/>
        <w:vertAlign w:val="base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65F062B3"/>
    <w:multiLevelType w:val="hybridMultilevel"/>
    <w:tmpl w:val="2256993C"/>
    <w:lvl w:ilvl="0" w:tplc="85BE56EC">
      <w:start w:val="1"/>
      <w:numFmt w:val="lowerRoman"/>
      <w:lvlText w:val="(%1)"/>
      <w:lvlJc w:val="left"/>
      <w:pPr>
        <w:ind w:left="720" w:hanging="360"/>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13"/>
  </w:num>
  <w:num w:numId="12">
    <w:abstractNumId w:val="15"/>
  </w:num>
  <w:num w:numId="13">
    <w:abstractNumId w:val="18"/>
  </w:num>
  <w:num w:numId="14">
    <w:abstractNumId w:val="12"/>
  </w:num>
  <w:num w:numId="15">
    <w:abstractNumId w:val="10"/>
  </w:num>
  <w:num w:numId="16">
    <w:abstractNumId w:val="17"/>
  </w:num>
  <w:num w:numId="17">
    <w:abstractNumId w:val="16"/>
  </w:num>
  <w:num w:numId="18">
    <w:abstractNumId w:val="1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136"/>
    <w:rsid w:val="00002074"/>
    <w:rsid w:val="000937D2"/>
    <w:rsid w:val="000E2B85"/>
    <w:rsid w:val="001A7292"/>
    <w:rsid w:val="001E500A"/>
    <w:rsid w:val="00220B35"/>
    <w:rsid w:val="00222C46"/>
    <w:rsid w:val="00270B0B"/>
    <w:rsid w:val="0027639C"/>
    <w:rsid w:val="002779CD"/>
    <w:rsid w:val="00281CBD"/>
    <w:rsid w:val="00284A32"/>
    <w:rsid w:val="002877EC"/>
    <w:rsid w:val="002A2336"/>
    <w:rsid w:val="002B5D7E"/>
    <w:rsid w:val="0037031B"/>
    <w:rsid w:val="003D5E00"/>
    <w:rsid w:val="00430272"/>
    <w:rsid w:val="00440A47"/>
    <w:rsid w:val="004A6EB0"/>
    <w:rsid w:val="004C18DA"/>
    <w:rsid w:val="004D3269"/>
    <w:rsid w:val="004F6067"/>
    <w:rsid w:val="00526894"/>
    <w:rsid w:val="005873A8"/>
    <w:rsid w:val="00596667"/>
    <w:rsid w:val="005C531A"/>
    <w:rsid w:val="005D6ADA"/>
    <w:rsid w:val="00601F73"/>
    <w:rsid w:val="006178A2"/>
    <w:rsid w:val="00643B72"/>
    <w:rsid w:val="006B5D45"/>
    <w:rsid w:val="006B776E"/>
    <w:rsid w:val="00767363"/>
    <w:rsid w:val="00777524"/>
    <w:rsid w:val="0079069E"/>
    <w:rsid w:val="007B78E1"/>
    <w:rsid w:val="00813F14"/>
    <w:rsid w:val="00825032"/>
    <w:rsid w:val="008B2725"/>
    <w:rsid w:val="008F710E"/>
    <w:rsid w:val="00A1522A"/>
    <w:rsid w:val="00A96B71"/>
    <w:rsid w:val="00B373BF"/>
    <w:rsid w:val="00B45B6D"/>
    <w:rsid w:val="00B45FE4"/>
    <w:rsid w:val="00B52299"/>
    <w:rsid w:val="00CD0A70"/>
    <w:rsid w:val="00CD5FDC"/>
    <w:rsid w:val="00CE6A2B"/>
    <w:rsid w:val="00D22D49"/>
    <w:rsid w:val="00DD0C13"/>
    <w:rsid w:val="00DD4A7E"/>
    <w:rsid w:val="00E52A77"/>
    <w:rsid w:val="00EC0F76"/>
    <w:rsid w:val="00EE070D"/>
    <w:rsid w:val="00F0455B"/>
    <w:rsid w:val="00F23D8A"/>
    <w:rsid w:val="00F67136"/>
    <w:rsid w:val="00F75659"/>
    <w:rsid w:val="00FB281A"/>
    <w:rsid w:val="00FF49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4B865D"/>
  <w15:chartTrackingRefBased/>
  <w15:docId w15:val="{51B5B8D8-4F21-C64E-9B55-2212E84D6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7136"/>
    <w:pPr>
      <w:spacing w:before="80" w:after="120"/>
    </w:pPr>
    <w:rPr>
      <w:sz w:val="18"/>
      <w:szCs w:val="18"/>
    </w:rPr>
  </w:style>
  <w:style w:type="paragraph" w:styleId="Heading1">
    <w:name w:val="heading 1"/>
    <w:basedOn w:val="Normal"/>
    <w:next w:val="Normal"/>
    <w:link w:val="Heading1Char"/>
    <w:uiPriority w:val="9"/>
    <w:qFormat/>
    <w:rsid w:val="00F67136"/>
    <w:pPr>
      <w:keepNext/>
      <w:keepLines/>
      <w:spacing w:before="360" w:after="240"/>
      <w:outlineLvl w:val="0"/>
    </w:pPr>
    <w:rPr>
      <w:rFonts w:asciiTheme="majorHAnsi" w:eastAsiaTheme="majorEastAsia" w:hAnsiTheme="majorHAnsi" w:cstheme="majorBidi"/>
      <w:color w:val="048A8D" w:themeColor="accent1" w:themeShade="BF"/>
      <w:sz w:val="36"/>
      <w:szCs w:val="36"/>
    </w:rPr>
  </w:style>
  <w:style w:type="paragraph" w:styleId="Heading2">
    <w:name w:val="heading 2"/>
    <w:basedOn w:val="Normal"/>
    <w:next w:val="Normal"/>
    <w:link w:val="Heading2Char"/>
    <w:uiPriority w:val="9"/>
    <w:unhideWhenUsed/>
    <w:qFormat/>
    <w:rsid w:val="00F67136"/>
    <w:pPr>
      <w:keepNext/>
      <w:keepLines/>
      <w:spacing w:before="400"/>
      <w:outlineLvl w:val="1"/>
    </w:pPr>
    <w:rPr>
      <w:rFonts w:asciiTheme="majorHAnsi" w:eastAsiaTheme="majorEastAsia" w:hAnsiTheme="majorHAnsi" w:cstheme="majorBidi"/>
      <w:color w:val="595959" w:themeColor="text1" w:themeTint="A6"/>
      <w:sz w:val="32"/>
      <w:szCs w:val="32"/>
    </w:rPr>
  </w:style>
  <w:style w:type="paragraph" w:styleId="Heading3">
    <w:name w:val="heading 3"/>
    <w:basedOn w:val="Normal"/>
    <w:next w:val="Normal"/>
    <w:link w:val="Heading3Char"/>
    <w:uiPriority w:val="9"/>
    <w:unhideWhenUsed/>
    <w:qFormat/>
    <w:rsid w:val="000E2B85"/>
    <w:pPr>
      <w:keepNext/>
      <w:keepLines/>
      <w:spacing w:before="360" w:after="0"/>
      <w:outlineLvl w:val="2"/>
    </w:pPr>
    <w:rPr>
      <w:rFonts w:asciiTheme="majorHAnsi" w:eastAsiaTheme="majorEastAsia" w:hAnsiTheme="majorHAnsi" w:cstheme="majorBidi"/>
      <w:b/>
      <w:color w:val="595959" w:themeColor="text1" w:themeTint="A6"/>
      <w:sz w:val="24"/>
      <w:szCs w:val="24"/>
    </w:rPr>
  </w:style>
  <w:style w:type="paragraph" w:styleId="Heading4">
    <w:name w:val="heading 4"/>
    <w:basedOn w:val="Normal"/>
    <w:next w:val="Normal"/>
    <w:link w:val="Heading4Char"/>
    <w:uiPriority w:val="9"/>
    <w:unhideWhenUsed/>
    <w:qFormat/>
    <w:rsid w:val="000E2B85"/>
    <w:pPr>
      <w:keepNext/>
      <w:keepLines/>
      <w:spacing w:before="280"/>
      <w:outlineLvl w:val="3"/>
    </w:pPr>
    <w:rPr>
      <w:rFonts w:asciiTheme="majorHAnsi" w:eastAsiaTheme="majorEastAsia" w:hAnsiTheme="majorHAnsi" w:cstheme="majorBidi"/>
      <w:b/>
      <w:iC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DOTtable">
    <w:name w:val="DOT table"/>
    <w:basedOn w:val="TableNormal"/>
    <w:uiPriority w:val="99"/>
    <w:rsid w:val="002779CD"/>
    <w:rPr>
      <w:sz w:val="18"/>
    </w:rPr>
    <w:tblPr>
      <w:tblStyleRowBandSize w:val="1"/>
      <w:tblBorders>
        <w:top w:val="single" w:sz="4" w:space="0" w:color="808080" w:themeColor="background1" w:themeShade="80"/>
        <w:bottom w:val="single" w:sz="4" w:space="0" w:color="808080" w:themeColor="background1" w:themeShade="80"/>
      </w:tblBorders>
    </w:tblPr>
    <w:tcPr>
      <w:shd w:val="clear" w:color="auto" w:fill="auto"/>
      <w:vAlign w:val="center"/>
    </w:tcPr>
    <w:tblStylePr w:type="firstRow">
      <w:pPr>
        <w:jc w:val="left"/>
      </w:pPr>
      <w:rPr>
        <w:rFonts w:asciiTheme="majorHAnsi" w:hAnsiTheme="majorHAnsi"/>
        <w:b/>
        <w:color w:val="000000" w:themeColor="text1"/>
        <w:sz w:val="18"/>
      </w:rPr>
      <w:tblPr/>
      <w:tcPr>
        <w:tcBorders>
          <w:bottom w:val="single" w:sz="4" w:space="0" w:color="808080" w:themeColor="background1" w:themeShade="80"/>
        </w:tcBorders>
        <w:shd w:val="clear" w:color="auto" w:fill="D6ECED"/>
      </w:tcPr>
    </w:tblStylePr>
    <w:tblStylePr w:type="band1Horz">
      <w:tblPr/>
      <w:tcPr>
        <w:tcBorders>
          <w:top w:val="nil"/>
        </w:tcBorders>
        <w:shd w:val="clear" w:color="auto" w:fill="auto"/>
      </w:tcPr>
    </w:tblStylePr>
  </w:style>
  <w:style w:type="paragraph" w:styleId="ListBullet">
    <w:name w:val="List Bullet"/>
    <w:basedOn w:val="Normal"/>
    <w:uiPriority w:val="99"/>
    <w:unhideWhenUsed/>
    <w:rsid w:val="006178A2"/>
    <w:pPr>
      <w:numPr>
        <w:numId w:val="10"/>
      </w:numPr>
      <w:spacing w:after="40"/>
      <w:ind w:left="357" w:hanging="357"/>
      <w:contextualSpacing/>
    </w:pPr>
  </w:style>
  <w:style w:type="paragraph" w:styleId="BodyText2">
    <w:name w:val="Body Text 2"/>
    <w:basedOn w:val="Normal"/>
    <w:link w:val="BodyText2Char"/>
    <w:uiPriority w:val="99"/>
    <w:unhideWhenUsed/>
    <w:rsid w:val="00F67136"/>
    <w:pPr>
      <w:spacing w:line="480" w:lineRule="auto"/>
    </w:pPr>
  </w:style>
  <w:style w:type="character" w:customStyle="1" w:styleId="BodyText2Char">
    <w:name w:val="Body Text 2 Char"/>
    <w:basedOn w:val="DefaultParagraphFont"/>
    <w:link w:val="BodyText2"/>
    <w:uiPriority w:val="99"/>
    <w:rsid w:val="00F67136"/>
  </w:style>
  <w:style w:type="paragraph" w:styleId="BodyText">
    <w:name w:val="Body Text"/>
    <w:basedOn w:val="Normal"/>
    <w:link w:val="BodyTextChar"/>
    <w:uiPriority w:val="99"/>
    <w:unhideWhenUsed/>
    <w:rsid w:val="00F67136"/>
  </w:style>
  <w:style w:type="character" w:customStyle="1" w:styleId="BodyTextChar">
    <w:name w:val="Body Text Char"/>
    <w:basedOn w:val="DefaultParagraphFont"/>
    <w:link w:val="BodyText"/>
    <w:uiPriority w:val="99"/>
    <w:rsid w:val="00F67136"/>
  </w:style>
  <w:style w:type="character" w:customStyle="1" w:styleId="Heading1Char">
    <w:name w:val="Heading 1 Char"/>
    <w:basedOn w:val="DefaultParagraphFont"/>
    <w:link w:val="Heading1"/>
    <w:uiPriority w:val="9"/>
    <w:rsid w:val="00F67136"/>
    <w:rPr>
      <w:rFonts w:asciiTheme="majorHAnsi" w:eastAsiaTheme="majorEastAsia" w:hAnsiTheme="majorHAnsi" w:cstheme="majorBidi"/>
      <w:color w:val="048A8D" w:themeColor="accent1" w:themeShade="BF"/>
      <w:sz w:val="36"/>
      <w:szCs w:val="36"/>
    </w:rPr>
  </w:style>
  <w:style w:type="character" w:styleId="BookTitle">
    <w:name w:val="Book Title"/>
    <w:basedOn w:val="DefaultParagraphFont"/>
    <w:uiPriority w:val="33"/>
    <w:qFormat/>
    <w:rsid w:val="00F67136"/>
    <w:rPr>
      <w:b/>
      <w:bCs/>
      <w:i/>
      <w:iCs/>
      <w:spacing w:val="5"/>
    </w:rPr>
  </w:style>
  <w:style w:type="character" w:customStyle="1" w:styleId="Heading2Char">
    <w:name w:val="Heading 2 Char"/>
    <w:basedOn w:val="DefaultParagraphFont"/>
    <w:link w:val="Heading2"/>
    <w:uiPriority w:val="9"/>
    <w:rsid w:val="00F67136"/>
    <w:rPr>
      <w:rFonts w:asciiTheme="majorHAnsi" w:eastAsiaTheme="majorEastAsia" w:hAnsiTheme="majorHAnsi" w:cstheme="majorBidi"/>
      <w:color w:val="595959" w:themeColor="text1" w:themeTint="A6"/>
      <w:sz w:val="32"/>
      <w:szCs w:val="32"/>
    </w:rPr>
  </w:style>
  <w:style w:type="character" w:customStyle="1" w:styleId="Heading3Char">
    <w:name w:val="Heading 3 Char"/>
    <w:basedOn w:val="DefaultParagraphFont"/>
    <w:link w:val="Heading3"/>
    <w:uiPriority w:val="9"/>
    <w:rsid w:val="000E2B85"/>
    <w:rPr>
      <w:rFonts w:asciiTheme="majorHAnsi" w:eastAsiaTheme="majorEastAsia" w:hAnsiTheme="majorHAnsi" w:cstheme="majorBidi"/>
      <w:b/>
      <w:color w:val="595959" w:themeColor="text1" w:themeTint="A6"/>
    </w:rPr>
  </w:style>
  <w:style w:type="character" w:customStyle="1" w:styleId="Heading4Char">
    <w:name w:val="Heading 4 Char"/>
    <w:basedOn w:val="DefaultParagraphFont"/>
    <w:link w:val="Heading4"/>
    <w:uiPriority w:val="9"/>
    <w:rsid w:val="000E2B85"/>
    <w:rPr>
      <w:rFonts w:asciiTheme="majorHAnsi" w:eastAsiaTheme="majorEastAsia" w:hAnsiTheme="majorHAnsi" w:cstheme="majorBidi"/>
      <w:b/>
      <w:iCs/>
      <w:color w:val="595959" w:themeColor="text1" w:themeTint="A6"/>
      <w:sz w:val="18"/>
      <w:szCs w:val="18"/>
    </w:rPr>
  </w:style>
  <w:style w:type="paragraph" w:customStyle="1" w:styleId="Titlewithline">
    <w:name w:val="Title with line"/>
    <w:basedOn w:val="Normal"/>
    <w:qFormat/>
    <w:rsid w:val="00F67136"/>
    <w:pPr>
      <w:pBdr>
        <w:top w:val="single" w:sz="2" w:space="10" w:color="06B9BD"/>
      </w:pBdr>
      <w:spacing w:before="60" w:after="60"/>
    </w:pPr>
    <w:rPr>
      <w:rFonts w:ascii="Arial" w:eastAsia="Times New Roman" w:hAnsi="Arial" w:cs="Arial"/>
      <w:b/>
      <w:color w:val="13A2A6"/>
      <w:sz w:val="20"/>
      <w:lang w:eastAsia="en-AU"/>
    </w:rPr>
  </w:style>
  <w:style w:type="paragraph" w:customStyle="1" w:styleId="Tabletitle">
    <w:name w:val="Table title"/>
    <w:basedOn w:val="Tablecopy"/>
    <w:qFormat/>
    <w:rsid w:val="00F67136"/>
    <w:rPr>
      <w:b/>
    </w:rPr>
  </w:style>
  <w:style w:type="paragraph" w:customStyle="1" w:styleId="Tablecopy">
    <w:name w:val="Table copy"/>
    <w:basedOn w:val="Normal"/>
    <w:qFormat/>
    <w:rsid w:val="00F67136"/>
    <w:pPr>
      <w:spacing w:before="60" w:after="60"/>
    </w:pPr>
    <w:rPr>
      <w:rFonts w:ascii="Arial" w:eastAsia="Times New Roman" w:hAnsi="Arial" w:cs="Arial"/>
      <w:color w:val="000000" w:themeColor="text1"/>
      <w:lang w:eastAsia="en-AU"/>
    </w:rPr>
  </w:style>
  <w:style w:type="table" w:styleId="TableGrid">
    <w:name w:val="Table Grid"/>
    <w:basedOn w:val="TableNormal"/>
    <w:uiPriority w:val="39"/>
    <w:rsid w:val="00F6713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allorangetitle">
    <w:name w:val="Small orange title"/>
    <w:basedOn w:val="Normal"/>
    <w:qFormat/>
    <w:rsid w:val="00F67136"/>
    <w:pPr>
      <w:spacing w:before="60" w:after="60"/>
    </w:pPr>
    <w:rPr>
      <w:rFonts w:ascii="Arial" w:eastAsia="Times New Roman" w:hAnsi="Arial" w:cs="Arial"/>
      <w:b/>
      <w:color w:val="E37607"/>
      <w:sz w:val="20"/>
      <w:lang w:eastAsia="en-AU"/>
    </w:rPr>
  </w:style>
  <w:style w:type="paragraph" w:customStyle="1" w:styleId="Quotation">
    <w:name w:val="Quotation"/>
    <w:basedOn w:val="Heading2"/>
    <w:qFormat/>
    <w:rsid w:val="00F67136"/>
    <w:pPr>
      <w:spacing w:before="80"/>
    </w:pPr>
    <w:rPr>
      <w:i/>
      <w:color w:val="008A8D"/>
    </w:rPr>
  </w:style>
  <w:style w:type="paragraph" w:styleId="Header">
    <w:name w:val="header"/>
    <w:basedOn w:val="Normal"/>
    <w:link w:val="HeaderChar"/>
    <w:uiPriority w:val="99"/>
    <w:unhideWhenUsed/>
    <w:rsid w:val="00F67136"/>
    <w:pPr>
      <w:tabs>
        <w:tab w:val="center" w:pos="4680"/>
        <w:tab w:val="right" w:pos="9360"/>
      </w:tabs>
      <w:spacing w:before="0" w:after="0"/>
    </w:pPr>
  </w:style>
  <w:style w:type="character" w:customStyle="1" w:styleId="HeaderChar">
    <w:name w:val="Header Char"/>
    <w:basedOn w:val="DefaultParagraphFont"/>
    <w:link w:val="Header"/>
    <w:uiPriority w:val="99"/>
    <w:rsid w:val="00F67136"/>
    <w:rPr>
      <w:sz w:val="18"/>
      <w:szCs w:val="18"/>
    </w:rPr>
  </w:style>
  <w:style w:type="paragraph" w:styleId="Footer">
    <w:name w:val="footer"/>
    <w:basedOn w:val="Normal"/>
    <w:link w:val="FooterChar"/>
    <w:uiPriority w:val="99"/>
    <w:unhideWhenUsed/>
    <w:rsid w:val="00F67136"/>
    <w:pPr>
      <w:tabs>
        <w:tab w:val="center" w:pos="4680"/>
        <w:tab w:val="right" w:pos="9360"/>
      </w:tabs>
      <w:spacing w:before="0" w:after="0"/>
    </w:pPr>
  </w:style>
  <w:style w:type="character" w:customStyle="1" w:styleId="FooterChar">
    <w:name w:val="Footer Char"/>
    <w:basedOn w:val="DefaultParagraphFont"/>
    <w:link w:val="Footer"/>
    <w:uiPriority w:val="99"/>
    <w:rsid w:val="00F67136"/>
    <w:rPr>
      <w:sz w:val="18"/>
      <w:szCs w:val="18"/>
    </w:rPr>
  </w:style>
  <w:style w:type="paragraph" w:styleId="Title">
    <w:name w:val="Title"/>
    <w:basedOn w:val="Normal"/>
    <w:next w:val="Normal"/>
    <w:link w:val="TitleChar"/>
    <w:uiPriority w:val="10"/>
    <w:qFormat/>
    <w:rsid w:val="001E500A"/>
    <w:pPr>
      <w:spacing w:before="360" w:after="0"/>
      <w:contextualSpacing/>
    </w:pPr>
    <w:rPr>
      <w:rFonts w:asciiTheme="majorHAnsi" w:eastAsiaTheme="majorEastAsia" w:hAnsiTheme="majorHAnsi" w:cstheme="majorBidi"/>
      <w:spacing w:val="-10"/>
      <w:kern w:val="28"/>
      <w:sz w:val="48"/>
      <w:szCs w:val="48"/>
    </w:rPr>
  </w:style>
  <w:style w:type="character" w:customStyle="1" w:styleId="TitleChar">
    <w:name w:val="Title Char"/>
    <w:basedOn w:val="DefaultParagraphFont"/>
    <w:link w:val="Title"/>
    <w:uiPriority w:val="10"/>
    <w:rsid w:val="001E500A"/>
    <w:rPr>
      <w:rFonts w:asciiTheme="majorHAnsi" w:eastAsiaTheme="majorEastAsia" w:hAnsiTheme="majorHAnsi" w:cstheme="majorBidi"/>
      <w:spacing w:val="-10"/>
      <w:kern w:val="28"/>
      <w:sz w:val="48"/>
      <w:szCs w:val="48"/>
    </w:rPr>
  </w:style>
  <w:style w:type="paragraph" w:styleId="Subtitle">
    <w:name w:val="Subtitle"/>
    <w:basedOn w:val="Normal"/>
    <w:next w:val="Normal"/>
    <w:link w:val="SubtitleChar"/>
    <w:uiPriority w:val="11"/>
    <w:qFormat/>
    <w:rsid w:val="00F67136"/>
    <w:pPr>
      <w:numPr>
        <w:ilvl w:val="1"/>
      </w:numPr>
      <w:spacing w:after="160"/>
    </w:pPr>
    <w:rPr>
      <w:rFonts w:eastAsiaTheme="minorEastAsia" w:cs="Times New Roman (Body CS)"/>
      <w:color w:val="000000" w:themeColor="text1"/>
      <w:sz w:val="36"/>
      <w:szCs w:val="36"/>
    </w:rPr>
  </w:style>
  <w:style w:type="character" w:customStyle="1" w:styleId="SubtitleChar">
    <w:name w:val="Subtitle Char"/>
    <w:basedOn w:val="DefaultParagraphFont"/>
    <w:link w:val="Subtitle"/>
    <w:uiPriority w:val="11"/>
    <w:rsid w:val="00F67136"/>
    <w:rPr>
      <w:rFonts w:eastAsiaTheme="minorEastAsia" w:cs="Times New Roman (Body CS)"/>
      <w:color w:val="000000" w:themeColor="text1"/>
      <w:sz w:val="36"/>
      <w:szCs w:val="36"/>
    </w:rPr>
  </w:style>
  <w:style w:type="paragraph" w:customStyle="1" w:styleId="Introcopy">
    <w:name w:val="Intro copy"/>
    <w:basedOn w:val="Normal"/>
    <w:qFormat/>
    <w:rsid w:val="00F67136"/>
    <w:pPr>
      <w:spacing w:after="240"/>
    </w:pPr>
    <w:rPr>
      <w:color w:val="767171" w:themeColor="background2" w:themeShade="80"/>
      <w:sz w:val="28"/>
      <w:szCs w:val="28"/>
    </w:rPr>
  </w:style>
  <w:style w:type="paragraph" w:styleId="ListBullet2">
    <w:name w:val="List Bullet 2"/>
    <w:basedOn w:val="Normal"/>
    <w:uiPriority w:val="99"/>
    <w:unhideWhenUsed/>
    <w:rsid w:val="00CE6A2B"/>
    <w:pPr>
      <w:numPr>
        <w:numId w:val="9"/>
      </w:numPr>
      <w:spacing w:after="40"/>
      <w:ind w:left="641" w:hanging="357"/>
      <w:contextualSpacing/>
    </w:pPr>
  </w:style>
  <w:style w:type="paragraph" w:styleId="ListBullet3">
    <w:name w:val="List Bullet 3"/>
    <w:basedOn w:val="Normal"/>
    <w:uiPriority w:val="99"/>
    <w:unhideWhenUsed/>
    <w:rsid w:val="00CE6A2B"/>
    <w:pPr>
      <w:numPr>
        <w:numId w:val="8"/>
      </w:numPr>
      <w:spacing w:after="40"/>
      <w:ind w:left="924" w:hanging="357"/>
      <w:contextualSpacing/>
    </w:pPr>
  </w:style>
  <w:style w:type="paragraph" w:styleId="ListBullet4">
    <w:name w:val="List Bullet 4"/>
    <w:basedOn w:val="Normal"/>
    <w:uiPriority w:val="99"/>
    <w:unhideWhenUsed/>
    <w:rsid w:val="00601F73"/>
    <w:pPr>
      <w:numPr>
        <w:numId w:val="7"/>
      </w:numPr>
      <w:contextualSpacing/>
    </w:pPr>
  </w:style>
  <w:style w:type="paragraph" w:styleId="List2">
    <w:name w:val="List 2"/>
    <w:basedOn w:val="Normal"/>
    <w:uiPriority w:val="99"/>
    <w:unhideWhenUsed/>
    <w:rsid w:val="008B2725"/>
    <w:pPr>
      <w:ind w:left="566" w:hanging="283"/>
      <w:contextualSpacing/>
    </w:pPr>
  </w:style>
  <w:style w:type="paragraph" w:styleId="List4">
    <w:name w:val="List 4"/>
    <w:basedOn w:val="Normal"/>
    <w:uiPriority w:val="99"/>
    <w:unhideWhenUsed/>
    <w:rsid w:val="008B2725"/>
    <w:pPr>
      <w:ind w:left="1132" w:hanging="283"/>
      <w:contextualSpacing/>
    </w:pPr>
  </w:style>
  <w:style w:type="character" w:styleId="PageNumber">
    <w:name w:val="page number"/>
    <w:basedOn w:val="DefaultParagraphFont"/>
    <w:uiPriority w:val="99"/>
    <w:semiHidden/>
    <w:unhideWhenUsed/>
    <w:rsid w:val="006B5D45"/>
  </w:style>
  <w:style w:type="character" w:styleId="Hyperlink">
    <w:name w:val="Hyperlink"/>
    <w:basedOn w:val="DefaultParagraphFont"/>
    <w:uiPriority w:val="99"/>
    <w:unhideWhenUsed/>
    <w:rsid w:val="007B78E1"/>
    <w:rPr>
      <w:color w:val="0563C1"/>
      <w:u w:val="single"/>
    </w:rPr>
  </w:style>
  <w:style w:type="character" w:styleId="UnresolvedMention">
    <w:name w:val="Unresolved Mention"/>
    <w:basedOn w:val="DefaultParagraphFont"/>
    <w:uiPriority w:val="99"/>
    <w:semiHidden/>
    <w:unhideWhenUsed/>
    <w:rsid w:val="00E52A77"/>
    <w:rPr>
      <w:color w:val="605E5C"/>
      <w:shd w:val="clear" w:color="auto" w:fill="E1DFDD"/>
    </w:rPr>
  </w:style>
  <w:style w:type="character" w:styleId="FollowedHyperlink">
    <w:name w:val="FollowedHyperlink"/>
    <w:basedOn w:val="DefaultParagraphFont"/>
    <w:uiPriority w:val="99"/>
    <w:semiHidden/>
    <w:unhideWhenUsed/>
    <w:rsid w:val="00E52A77"/>
    <w:rPr>
      <w:color w:val="5A5294" w:themeColor="followedHyperlink"/>
      <w:u w:val="single"/>
    </w:rPr>
  </w:style>
  <w:style w:type="paragraph" w:styleId="ListParagraph">
    <w:name w:val="List Paragraph"/>
    <w:basedOn w:val="Normal"/>
    <w:uiPriority w:val="34"/>
    <w:qFormat/>
    <w:rsid w:val="00EE070D"/>
    <w:pPr>
      <w:ind w:left="720"/>
      <w:contextualSpacing/>
    </w:pPr>
  </w:style>
  <w:style w:type="paragraph" w:styleId="BalloonText">
    <w:name w:val="Balloon Text"/>
    <w:basedOn w:val="Normal"/>
    <w:link w:val="BalloonTextChar"/>
    <w:uiPriority w:val="99"/>
    <w:semiHidden/>
    <w:unhideWhenUsed/>
    <w:rsid w:val="000937D2"/>
    <w:pPr>
      <w:spacing w:before="0" w:after="0"/>
    </w:pPr>
    <w:rPr>
      <w:rFonts w:ascii="Segoe UI" w:hAnsi="Segoe UI" w:cs="Segoe UI"/>
    </w:rPr>
  </w:style>
  <w:style w:type="character" w:customStyle="1" w:styleId="BalloonTextChar">
    <w:name w:val="Balloon Text Char"/>
    <w:basedOn w:val="DefaultParagraphFont"/>
    <w:link w:val="BalloonText"/>
    <w:uiPriority w:val="99"/>
    <w:semiHidden/>
    <w:rsid w:val="000937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42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DoT colour palette">
      <a:dk1>
        <a:srgbClr val="000000"/>
      </a:dk1>
      <a:lt1>
        <a:srgbClr val="FFFFFF"/>
      </a:lt1>
      <a:dk2>
        <a:srgbClr val="0A1F3F"/>
      </a:dk2>
      <a:lt2>
        <a:srgbClr val="E7E6E6"/>
      </a:lt2>
      <a:accent1>
        <a:srgbClr val="06B9BD"/>
      </a:accent1>
      <a:accent2>
        <a:srgbClr val="FF8200"/>
      </a:accent2>
      <a:accent3>
        <a:srgbClr val="E1EEF9"/>
      </a:accent3>
      <a:accent4>
        <a:srgbClr val="555857"/>
      </a:accent4>
      <a:accent5>
        <a:srgbClr val="FFD100"/>
      </a:accent5>
      <a:accent6>
        <a:srgbClr val="5A5294"/>
      </a:accent6>
      <a:hlink>
        <a:srgbClr val="0C81BC"/>
      </a:hlink>
      <a:folHlink>
        <a:srgbClr val="5A529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984748A346DA4BAFC99B7F266B0E40" ma:contentTypeVersion="11" ma:contentTypeDescription="Create a new document." ma:contentTypeScope="" ma:versionID="3c0a4b3278c13fbc1a7f2fdaa06dd79b">
  <xsd:schema xmlns:xsd="http://www.w3.org/2001/XMLSchema" xmlns:xs="http://www.w3.org/2001/XMLSchema" xmlns:p="http://schemas.microsoft.com/office/2006/metadata/properties" xmlns:ns3="a9d65c0f-ccb3-4abe-adcc-c3001562e0e7" xmlns:ns4="757a7a52-8c22-4ace-85f5-07c84bbbfab3" targetNamespace="http://schemas.microsoft.com/office/2006/metadata/properties" ma:root="true" ma:fieldsID="daf33aa3c27146bb3694cedc82698647" ns3:_="" ns4:_="">
    <xsd:import namespace="a9d65c0f-ccb3-4abe-adcc-c3001562e0e7"/>
    <xsd:import namespace="757a7a52-8c22-4ace-85f5-07c84bbbfab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d65c0f-ccb3-4abe-adcc-c3001562e0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7a7a52-8c22-4ace-85f5-07c84bbbfab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1A3D9-9CBC-4084-9649-31EC34948CFB}">
  <ds:schemaRefs>
    <ds:schemaRef ds:uri="http://schemas.microsoft.com/sharepoint/v3/contenttype/forms"/>
  </ds:schemaRefs>
</ds:datastoreItem>
</file>

<file path=customXml/itemProps2.xml><?xml version="1.0" encoding="utf-8"?>
<ds:datastoreItem xmlns:ds="http://schemas.openxmlformats.org/officeDocument/2006/customXml" ds:itemID="{1760D065-6B70-462B-B245-F02C68909EA1}">
  <ds:schemaRefs>
    <ds:schemaRef ds:uri="http://purl.org/dc/elements/1.1/"/>
    <ds:schemaRef ds:uri="http://schemas.microsoft.com/office/2006/metadata/properties"/>
    <ds:schemaRef ds:uri="http://purl.org/dc/terms/"/>
    <ds:schemaRef ds:uri="757a7a52-8c22-4ace-85f5-07c84bbbfab3"/>
    <ds:schemaRef ds:uri="http://schemas.microsoft.com/office/2006/documentManagement/types"/>
    <ds:schemaRef ds:uri="http://schemas.microsoft.com/office/infopath/2007/PartnerControls"/>
    <ds:schemaRef ds:uri="http://schemas.openxmlformats.org/package/2006/metadata/core-properties"/>
    <ds:schemaRef ds:uri="a9d65c0f-ccb3-4abe-adcc-c3001562e0e7"/>
    <ds:schemaRef ds:uri="http://www.w3.org/XML/1998/namespace"/>
    <ds:schemaRef ds:uri="http://purl.org/dc/dcmitype/"/>
  </ds:schemaRefs>
</ds:datastoreItem>
</file>

<file path=customXml/itemProps3.xml><?xml version="1.0" encoding="utf-8"?>
<ds:datastoreItem xmlns:ds="http://schemas.openxmlformats.org/officeDocument/2006/customXml" ds:itemID="{4250D7D3-217D-46E5-959E-FD16EFDB3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d65c0f-ccb3-4abe-adcc-c3001562e0e7"/>
    <ds:schemaRef ds:uri="757a7a52-8c22-4ace-85f5-07c84bbbfa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B0BDD2-6F9A-4F97-91FA-9B8E8CD2D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771</Words>
  <Characters>4395</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 Design</dc:creator>
  <cp:keywords/>
  <dc:description/>
  <cp:lastModifiedBy>Jason T Murray (DEDJTR)</cp:lastModifiedBy>
  <cp:revision>2</cp:revision>
  <dcterms:created xsi:type="dcterms:W3CDTF">2019-09-10T07:18:00Z</dcterms:created>
  <dcterms:modified xsi:type="dcterms:W3CDTF">2019-09-10T07:18:00Z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0x010100D9984748A346DA4BAFC99B7F266B0E40</vt:lpwstr>
  </property>
  <property fmtid="{D5CDD505-2E9C-101B-9397-08002B2CF9AE}" pid="3" name="AuthorIds_UIVersion_3072">
    <vt:lpwstr>1421</vt:lpwstr>
  </property>
</Properties>
</file>